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6.5.2019,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pomáhá s předfinancováním kotlíkové dotace</w:t>
      </w:r>
    </w:p>
    <w:p>
      <w:pPr/>
      <w:r>
        <w:rPr/>
        <w:t xml:space="preserve">V budově C magistrátu města, tedy v budově bývalé komerční banky, ve třetím patře najdou zájemci o kotlíkovou dotaci poradnu, kam mohou v úřední dny přicházet pro radu, případně žádat úředníky o pomoc s vyplněním žádosti.</w:t>
      </w:r>
    </w:p>
    <w:p>
      <w:pPr/>
      <w:r>
        <w:rPr/>
        <w:t xml:space="preserve">  "Jsme tady od toho, abychom lidem pomohli s vyplněním žádosti i se vším ostatním," vysvětlila Nikola Mináriková, pracovnice Odbor školství a rozvoje MMK. </w:t>
      </w:r>
    </w:p>
    <w:p>
      <w:pPr/>
      <w:r>
        <w:rPr/>
        <w:t xml:space="preserve">Poradit mohou úředníci i s vyplněním čestného prohlášení, formuláře, který magistrát rozesílá do schránek. Je určený pro ty, kteří v současné době nemají hotovost na předfinancování dotace. Město těmto žadatelům pomůže formou zápůjčky, zájemci o ní  to ale musí oznámit do konce května.</w:t>
      </w:r>
    </w:p>
    <w:p>
      <w:pPr/>
      <w:r>
        <w:rPr/>
        <w:t xml:space="preserve">"Občané, kteří nemají finance, tak by si museli brát úvěry a půjčky od bank, tam jsou už nějaké úroky, s tím, že město ve spolupráci se státním fondem životního prostředí bude poskytovat občanům poskytovat půjčky dopředu na základě uzavřené smlouvy s Krajským úřadem v Ostravě. Jakmile přijde občanovi na účet dotace, tak město si to stáhne inkasem na účet," řekla Nikola Mináriková, pracovnice Odbor školství a rozvoje MMK. </w:t>
      </w:r>
    </w:p>
    <w:p>
      <w:pPr/>
      <w:r>
        <w:rPr/>
        <w:t xml:space="preserve">Úřednici pomáhají s vyplňováním žádostí i v domácnostech a to v případě, že je žadatel imobilní nebo se ze zdravotních důvodů nemůže sem na magistrát dostavit.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005/karvina-pomaha-s-predfinancovanim-kotlikove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2026-06-16T06:18:20+02:00</dcterms:created>
  <dcterms:modified xsi:type="dcterms:W3CDTF">2026-06-16T06:18:20+02:00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