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ve F-M se budou dále rozvíjet</w:t>
      </w:r>
    </w:p>
    <w:p>
      <w:pPr/>
      <w:r>
        <w:rPr/>
        <w:t xml:space="preserve">Zastupitelstvo na svém 5. jednání schválilo Střednědobý plán rozvoje sociálních služeb a navazujících aktivit města na období 2019-2021, jedná se o velmi důležitý dokument, který určuje, jakým směrem se bude sociální oblast v daném období ubírat.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se zvláštním režimem, domova pro seniory i pečovatelské služby. Rovněž se připravuje zkvalitnění a rozšíření kapacit terénních a pobytových služeb pro osoby se zdravotním postižením a vybudování chráněného bydlení pro osoby s duševním onemocněním v souvislosti s realizací centra duševního zdraví v rámci reformy psychiatricképéče,” uvedl náměstek primátora Frýdku-Místku Marcel Sikora.</w:t>
      </w:r>
    </w:p>
    <w:p>
      <w:pPr/>
      <w:r>
        <w:rPr/>
        <w:t xml:space="preserve">Cílem Komunitního plánu je také podpora rodin s dětmi při předcházení a řešení nepříznivých sociálních situací. A to například navýšením kapacity nízkoprahového zařízení pro děti a mládež, podporou volnočasových a vzdělávacích aktivit i podporou odborné pomoci, která směřuje ke zvyšování rodičovských kompetencí a zkvalitňování rodinných vztahů. </w:t>
      </w:r>
    </w:p>
    <w:p>
      <w:pPr/>
      <w:r>
        <w:rPr/>
        <w:t xml:space="preserve">“Zastupitelé rovněž schválili neinvestiční dotace ve výši 275 000 Kč. Tuto částku si rozdělí Slezská diakonii, Charita Frýdek-Místek, Nadační fond Pavla Novotného, Centrum nové naděje a Senioři Frýdek-Místek,” pokračoval Sikora.</w:t>
      </w:r>
    </w:p>
    <w:p>
      <w:pPr/>
      <w:r>
        <w:rPr/>
        <w:t xml:space="preserve">Sociální oblast a její podpora patří k prioritám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440/socialni-sluzby-ve-fm-se-budou-dale-rozvi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2026-04-22T13:34:49+02:00</dcterms:created>
  <dcterms:modified xsi:type="dcterms:W3CDTF">2026-04-22T13:34:49+02:00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