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projde rozsáhlou rekonstrukcí</w:t>
      </w:r>
    </w:p>
    <w:p>
      <w:pPr/>
      <w:r>
        <w:rPr/>
        <w:t xml:space="preserve">A právě ta byla jedním z témat, kterými se zabývali zastupitelé na svém  2. řádného zasedání. Obec si na rekonstrukci vzala úvěr ve výši 37 milionů korun.</w:t>
      </w:r>
    </w:p>
    <w:p>
      <w:pPr/>
      <w:r>
        <w:rPr/>
        <w:t xml:space="preserve">„Rekonstrukci zahájíme po třech letech přípravných prací. Co se týče financování, chceme využít stejného modelu jako v okolních obcích. Chceme objekt v budoucnu provozoval plátce DPH, čímž vznikne obci nárok na vrácení DPH, což v našem případě je devět milionů,“ řekl starosta obce Jindřich Feber.</w:t>
      </w:r>
    </w:p>
    <w:p>
      <w:pPr/>
      <w:r>
        <w:rPr/>
        <w:t xml:space="preserve">Obec na rekonstrukci nevyužije  dotaci, která by značně omezila možnosti jakéhokoli komerčního využití. Obavy proto mají místní spolky, které už teď řeší, jak to bude s úhradou nájmu, v případě, kdy budou chtít zrekonstruovaný objekt využít pro svou činnost.</w:t>
      </w:r>
    </w:p>
    <w:p>
      <w:pPr/>
      <w:r>
        <w:rPr/>
        <w:t xml:space="preserve">„Obec bude spolky podporovat i v budoucnu, tak jak tomu bylo doposud. Nájem jim bude refundovat,“ dodal starosta.</w:t>
      </w:r>
    </w:p>
    <w:p>
      <w:pPr/>
      <w:r>
        <w:rPr/>
        <w:t xml:space="preserve">Rozsáhlou rekonstrukcí projde nejen samotný Dělnický dům, ale i jeho okolí. Veškeré práce by měly být ukončeny do konce příštího roku. Vybavení starého dělničáku, jako jsou například židle a stoly nabídne obec místním spolkům a organizacím, které o ně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4/delnicky-dum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2026-06-29T18:46:10+02:00</dcterms:created>
  <dcterms:modified xsi:type="dcterms:W3CDTF">2026-06-29T18:46:10+02:00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