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Branná výchova opět v kurzu: školáci z Ludgeřovic házeli granátem, zkoušeli si masky i stříleli</w:t>
      </w:r>
    </w:p>
    <w:p>
      <w:pPr/>
      <w:r>
        <w:rPr/>
        <w:t xml:space="preserve">Přestože ve školních osnovách základycivilní ochrany chybí, žáci z ludgeřovické základníškoly se tomuto tématu věnovali podrobně během celéhodopoledně.</w:t>
      </w:r>
    </w:p>
    <w:p>
      <w:pPr/>
      <w:r>
        <w:rPr/>
        <w:t xml:space="preserve">„Tím,že nemáme předmět civilní obranu  v osnovách, tak jsme serozhodli, že by bylo dobré dětem připomenout, jak poskytnoutprvní pomoc, jak se evakuovat, seznámit je s chemickýmilátkami. Oceňujeme také to, že si to tady mohou praktickyvyzkoušet,“ vysvětluje důvodyučitelkaMiroslava Bartusková.</w:t>
      </w:r>
    </w:p>
    <w:p>
      <w:pPr/>
      <w:r>
        <w:rPr/>
        <w:t xml:space="preserve">Skupinkydětí postupně obcházely jednotlivá stanoviště. Lektoři jimvyprávěli třeba o historii naší armády nebo jaké úkoly plnívojáci v mezinárodních misích. Mohli si také vyzkoušetstřelbu air soft zbraní, připraven byl také koutek zdravovědyzaměřený především na poskytnutí první pomoci a připomnělisi také, jak se chovat při mimořádných událostech. Třebapři evakuaci nebo povodni.</w:t>
      </w:r>
    </w:p>
    <w:p>
      <w:pPr/>
      <w:r>
        <w:rPr/>
        <w:t xml:space="preserve">„Chceme,ať to děti baví, ať to není jen nějaká teorie. Takže mámepřipraveno propojení  i s interaktivní částí, kde mají možnost sizasportovat,“ vysvětlujeorganizátor akce Roman Böhm z Muzea civilní obrany.</w:t>
      </w:r>
    </w:p>
    <w:p>
      <w:pPr/>
      <w:r>
        <w:rPr/>
        <w:t xml:space="preserve">Kroměteoretických a praktických znalostí jedno ze šesti stanovišťprověřilo, jak jsou na tom školáci také fyzicky.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429/branna-vychova-opet-v%C2%A0kurzu-skolaci-z-ludgerovic-hazeli-granatem-zkouseli-si-masky-i-stril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2026-04-19T12:15:44+02:00</dcterms:created>
  <dcterms:modified xsi:type="dcterms:W3CDTF">2026-04-19T12:15:44+02:00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