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vlastníci budov obdrží v září dotaci od obce,  na radnici přišlo 284 žádostí</w:t>
      </w:r>
    </w:p>
    <w:p>
      <w:pPr/>
      <w:r>
        <w:rPr/>
        <w:t xml:space="preserve">Celkem bude během měsíce září vyplaceno na účet žadatelů téměř milion stopadesát tisíc korun. V druhé etapě si ještě o dotaci mohou zažádat ti, kteří provádějí zemědělskou činnost, nebo platí daň z nemovitosti dvakrát ročně. Žádost musí podat do 30.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707/stonavsti-vlastnici-budov-obdrzi-v-zari-dotaci-od-obce--na-radnici-prislo-284-z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2026-05-17T02:48:28+02:00</dcterms:created>
  <dcterms:modified xsi:type="dcterms:W3CDTF">2026-05-17T02:48:28+02:00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