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11.1.2020,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ještě stále nerozhodl o žalobě, kterou podala radnice kvůli svodidel na Ostravské</w:t>
      </w:r>
    </w:p>
    <w:p>
      <w:pPr/>
      <w:r>
        <w:rPr/>
        <w:t xml:space="preserve"> Opatření chce realizovat kvůli zvýšení bezpečnosti Ředitelství silnic a dálnic. Město je přesvědčeno, že existují i jiné varianty opatření, které by neměly vliv na plynulost dopravy.</w:t>
      </w:r>
    </w:p>
    <w:p>
      <w:pPr/>
      <w:r>
        <w:rPr/>
        <w:t xml:space="preserve">"Jsme v kontaktu s okolními obcemi. Od soudu přišla žádost, abychom vyvěsili na úřední desce, že se k naší žádosti mohou připojit dotčené obce nebo firmy a co máme informace z Šenova, tak Šenov se připojí k naší žalobě a věřím, že také firmy, které jsou dotčeny, jako je SmVak a také dopravní společnost, která na území působí. Stále čekáme na rozhodnutí soudu a stále věříme, že soud rozhodne v náš prospěch,” uvedl náměstek primátora Bohuslav Niemiec (KDU-ČSL).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757/soud-jeste-stale-nerozhodl-o-zalobe-kterou-podala-radnice-kvuli-svodidel-na-ostrav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2026-06-18T22:37:41+02:00</dcterms:created>
  <dcterms:modified xsi:type="dcterms:W3CDTF">2026-06-18T22:37:41+02:00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