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14.1.2020, 09:28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bude do roku 2025 úplně bez dluhů</w:t>
      </w:r>
    </w:p>
    <w:p>
      <w:pPr/>
      <w:r>
        <w:rPr/>
        <w:t xml:space="preserve">„V současné době máme nasmlouvané úvěry, které v rámci rozpočtu a plánovaného splácení těchto úvěrů máme nastaveny tak, že do roku 2025 by byla nulová zadluženost kraje,“ oznámil Jaroslav Kania (ANO), náměstek hejtmana pro finance, investice a majetek.</w:t>
      </w:r>
    </w:p>
    <w:p>
      <w:pPr/>
      <w:r>
        <w:rPr/>
        <w:t xml:space="preserve">Už v letošním roce by se měl dluh snížit o zhruba 300 milionů korun. „To je to, co se nám daří: jednak snižovat zadluženost, ale zároveň udržet finance v těch strategických oblastech, kdy investice jsou ve stejné výši jako v loňském roce. Je to dáno zvýšeným příjmem v rámci celého rozpočtu kraje. Také se nám daří udržet strategické fondy, ze kterých budeme hradit velké investice,“ upřesnil Kania.</w:t>
      </w:r>
    </w:p>
    <w:p>
      <w:pPr/>
      <w:r>
        <w:rPr/>
        <w:t xml:space="preserve">Snižování dluhu ale neznamená, že by se snižovaly investice. „Jsou to dopravní stavby, kdy budeme dokončovat Výškovické mosty a Bazaly. Pak jsou to investice do Střední školy ve Frýdku-Místku, kde zahájíme výstavbu nových dílen v objemu 120 milionů pro rok 2020, ale celkové náklady jsou 235 milionů korun,“ dodal náměstek hejtmana.</w:t>
      </w:r>
    </w:p>
    <w:p>
      <w:pPr/>
      <w:r>
        <w:rPr/>
        <w:t xml:space="preserve">Investičních akcí kraje nad 100 milionů korun je více než deset.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8773/kraj-bude-do-roku-2025-uplne-bez-dlu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2026-04-20T21:16:15+02:00</dcterms:created>
  <dcterms:modified xsi:type="dcterms:W3CDTF">2026-04-20T21:16:15+02:00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