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v Revoluční přistihl už tři tisíce hříšníků, jejich počet zatím neklesá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00/radar-v-revolucni-pristihl-uz-tri-tisice-hrisniku-jejich-pocet-zatim-ne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