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obhájil nejlepší možný rating. Hospodaří prozíravě</w:t>
      </w:r>
    </w:p>
    <w:p>
      <w:pPr/>
      <w:r>
        <w:rPr/>
        <w:t xml:space="preserve">Moravskoslezský kraj významně investuje a zhodnocuje svůj majetek, přitom se mu daří udržovat na nízké úrovni zadluženost. Vyplývá to ze závěrečného účtu a účetní závěrky za loňský rok, které schválili krajští zastupitelé. Prozíravé a odpovědné hospodaření potvrdila i agentura Moody's.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„Je to dobrá zpráva pro občany i potenciální investory. Renomovaná nezávislá agentura tímto ratingem světu říká, že Moravskoslezský kraj je velmi solidní, důvěryhodný partner, který plní svoje závazky a kterému je možné bez obav poskytnout finanční dotace a úvěry.“</w:t>
      </w:r>
    </w:p>
    <w:p>
      <w:pPr/>
      <w:r>
        <w:rPr/>
        <w:t xml:space="preserve">Agentura Moody's ve svém hodnocení ocenila zejména pokračující konzervativní styl řízení krajských financí. Moravskoslezský kraj v loňském roce reálně hospodařil s téměř 28 miliardami korun.</w:t>
      </w:r>
    </w:p>
    <w:p>
      <w:pPr/>
      <w:r>
        <w:rPr>
          <w:b w:val="1"/>
          <w:bCs w:val="1"/>
        </w:rPr>
        <w:t xml:space="preserve">Jaroslav Kania, náměstek hejtmana MS kraje</w:t>
      </w:r>
      <w:r>
        <w:rPr/>
        <w:t xml:space="preserve">: „Skončili jsme v přebytku téměř 600 milionů korun. Upravený rozpočet přitom počítal s výrazným schodkem – až 2,1 miliardy. Je to díky tomu, že se loni české ekonomice dařilo a kraj inkasoval více peněz na daních. Také jsme měli oproti plánovanému rozpočtu nižší výdaje u projektů financovaných z evropských peněz. Kvůli zdlouhavým schvalovacím procesům řídících orgánů a veřejných zakázek se zpožďuje jejich realizace.“ </w:t>
      </w:r>
    </w:p>
    <w:p>
      <w:pPr/>
      <w:r>
        <w:rPr/>
        <w:t xml:space="preserve">V roce 2019 realizoval kraj 154 investičních i neinvestičních projektů spolufinancovaných z evropských finančních zdrojů v rámci programového období 2014-2020. Jejich celkové náklady byly 7,536 mld. Kč. V roce 2018 to bylo 163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14/ms-kraj-obhajil-nejlepsi-mozny-rating-hospodari-prozi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2026-05-01T22:23:02+02:00</dcterms:created>
  <dcterms:modified xsi:type="dcterms:W3CDTF">2026-05-01T22:23:02+02:00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