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loni rekordně investoval. I tak hospodařil se ziskem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“Trošku nás mrzí, že se nám nepodařilo dostat investice do oblasti Šalamouny, ale to doufáme, že se nám snad povede v příštím roce, tedy v roce 2021. Trošku jsou problémy s dotacemi, protože dostáváme dotace na jedno sídliště, nikoli na dvě.jak tomu bylo v předchozích letech. </w:t>
      </w:r>
    </w:p>
    <w:p>
      <w:pPr/>
      <w:r>
        <w:rPr/>
        <w:t xml:space="preserve">Hospodaření obvodu skončilo se ziskem ve výši téměř 60 milionů korun. Volné prostředky si radnice ponechá jako rezervu.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“Jsou tam částky na bytový a domovní fond a to jsou částky vázané ve výši 48 milionů  a 7 milionů je částka nevázaných prostředků, které si necháváme opravdu na výpadek  pokrytí příjmu, který souvisí bohužel s Covidem-19.</w:t>
      </w:r>
    </w:p>
    <w:p>
      <w:pPr/>
      <w:r>
        <w:rPr/>
        <w:t xml:space="preserve">Zastupitelé schválili i dotace do oblasti kultury, kam poputuje kolem 600 tisíc korun. Už v květnu rozdělili dotace na sport, volnočasové aktivity, estetizaci prostoru a do oblasti sociální.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 všechny dotační tituly jsme měli připraveny 4 miliony korun. Po schválení radou i zastupitelstvem nám ještě zůstává částka zhruba kolem milionu, která skutečně nebude nikde zapomenuta. Buď ji vrátíme zpátky do rozpočtu obvodu, nebo případně část ještě vyčleníme pro individuální žádosti.”</w:t>
      </w:r>
    </w:p>
    <w:p>
      <w:pPr/>
      <w:r>
        <w:rPr/>
        <w:t xml:space="preserve">Filozofií obvodu je podporovat celoroční činnost klubů a institucí, Jejich jednotlivé akce jsou jen třešničkou na dortu.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914/centralni-obvod-ostravy-loni-rekordne-investoval-i-tak-hospodaril-se-z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2026-07-05T04:58:19+02:00</dcterms:created>
  <dcterms:modified xsi:type="dcterms:W3CDTF">2026-07-05T04:58:19+02:00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