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si s novojičínskou radnicí vyměnili názory na aktuální problémy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době.”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  </w:t>
      </w:r>
    </w:p>
    <w:p>
      <w:pPr/>
      <w:r>
        <w:rPr/>
        <w:t xml:space="preserve">Podnikatelé například požadují výraznější propagaci místních produktů nebo navázání zdejší cyklostezky na okolní trasy.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V souvislosti s dopady koronaviru proto radnice připravila opatření v podobě slev na nájemném, přímou finanční pomoc a restaurační předzahrádky za symbolickou korunu. 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akcií by se letos mohli zapojit, místo zrušené městské slavnosti by to mohl být srpnový garden food festival.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17/podnikatele-si-s-novojicinskou-radnici-vymenili-nazory-na-aktualn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2026-07-16T17:45:38+02:00</dcterms:created>
  <dcterms:modified xsi:type="dcterms:W3CDTF">2026-07-16T17:45:38+02:00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