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vznikne unikátní vodíkové město</w:t>
      </w:r>
    </w:p>
    <w:p>
      <w:pPr/>
      <w:r>
        <w:rPr/>
        <w:t xml:space="preserve">Vodíkové město by mělo být téměř bez emisí a lidé by tam mohli pracovat, bydlet, zkoumat, ale i trávit volný čas.</w:t>
      </w:r>
    </w:p>
    <w:p>
      <w:pPr/>
      <w:r>
        <w:rPr/>
        <w:t xml:space="preserve">Jan Světlík, generální ředitel Cylinders Holding: „Bude to absolutně čistá příroda, první projekt tohoto typu na světě, který náš kraj zviditelní.“</w:t>
      </w:r>
    </w:p>
    <w:p>
      <w:pPr/>
      <w:r>
        <w:rPr/>
        <w:t xml:space="preserve">Připravuje se bytový projekt Terasy Hrabová. Počítá se zde i s vybudováním fotbalového stadionu pro Baník, lanovkou, adrenalinovým areálem, krytým lyžařským areálem, využívat se bude i jezero, které zde po sanaci haldy vzniklo.</w:t>
      </w:r>
    </w:p>
    <w:p>
      <w:pPr/>
      <w:r>
        <w:rPr/>
        <w:t xml:space="preserve">Zdeněk Vomočil, vedoucí business development, Cylinders Holding: „Jednotlivé sektory budou provázané a počítá se také s využitím dalších chytrých technologiíí kromě těch vodíkových.“</w:t>
      </w:r>
    </w:p>
    <w:p>
      <w:pPr/>
      <w:r>
        <w:rPr/>
        <w:t xml:space="preserve">Ve vodíkovém městě se počítá také s vybudováním center pro vodíková auta, kola i koloběžky, ale i pro výzkum vodíku. Časová osa realizace celého vodíkového města by mohla vzniknout do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30/v-ostrave-vznikne-unikatni-vodiko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2026-05-13T21:59:40+02:00</dcterms:created>
  <dcterms:modified xsi:type="dcterms:W3CDTF">2026-05-13T21:59:40+02:00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