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slavnosti zahájili v Novém Jičíně jen výstavu, i tak dodrželi tradici</w:t>
      </w:r>
    </w:p>
    <w:p>
      <w:pPr/>
      <w:r>
        <w:rPr/>
        <w:t xml:space="preserve">Tradicí novojičínské městské slavnosti bylo léta její zahájení na Staré poště, a to formou vernisáže výstavy, která odhalovala historické téma slavnosti. Největší kulturní akce města se ale letos nekoná, výstava ano.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“Je nám líto, že letos 27. městskou slavnost nemůžeme uspořádat. Přesto i letos alespoň symbolicky zahajujeme výstavu.”   </w:t>
      </w:r>
    </w:p>
    <w:p>
      <w:pPr/>
      <w:r>
        <w:rPr/>
        <w:t xml:space="preserve">Připomínat bude, že před 400 lety, v roce 1620, byl Nový Jičín povýšen na královské město.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“Město tehdy stálo na protestantské straně a bohužel tento titul si užilo pouhé čtyři roky. mělo povoleno pečetit červenou pečetí a mělo i další výsady.”  </w:t>
      </w:r>
    </w:p>
    <w:p>
      <w:pPr/>
      <w:r>
        <w:rPr/>
        <w:t xml:space="preserve">Expozice se tedy jmenuje příznačně Královské dostaveníčko a dále připomíná všechny členy různých panovnických rodů, kteří do města zavítali.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“Již tím prvním byl sám český král Jan Lucemburský, který v roce 1313 udělil Novému Jičínu  mýtné právo.” </w:t>
      </w:r>
    </w:p>
    <w:p>
      <w:pPr/>
      <w:r>
        <w:rPr/>
        <w:t xml:space="preserve">Bylo zde také několik příslušníků královské rodiny Habsburků. Zajímavostí je, že tyto návštěvy pokračují i ve století 21.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“Nový Jičín navštěvoval přímý potomek císaře Františka Josefa I., jeho osvícenost hrabě František Josef Waldburg-Zeil, majitel paláce v Hohenemsu."</w:t>
      </w:r>
    </w:p>
    <w:p>
      <w:pPr/>
      <w:r>
        <w:rPr/>
        <w:t xml:space="preserve">Spočítat kolik vzácných hostů celkem město přivítalo mohou lidé na výstavě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52/misto-slavnosti-zahajili-v-novem-jicine-jen-vystavu-i-tak-dodrzeli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2026-05-13T21:59:08+02:00</dcterms:created>
  <dcterms:modified xsi:type="dcterms:W3CDTF">2026-05-13T21:59:08+02:00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