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půjčí téměř 2 miliardy korun. Utratí je za zásadní investice</w:t>
      </w:r>
    </w:p>
    <w:p>
      <w:pPr/>
      <w:r>
        <w:rPr/>
        <w:t xml:space="preserve">Ostravští zastupitelé schválili přijetí úvěru 1, 8 mld korun, který nabídla Česká Spořitelna. Tento Peněžní ústav nabídl nejlepší podmínky ze čtyř oslovených bank. Hlavním kritériem byla celková cena. Úvěrje určený na financovánívýznamných investičních akcí v letech 2020 až 2023.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</w:t>
      </w:r>
      <w:r>
        <w:rPr>
          <w:i w:val="1"/>
          <w:iCs w:val="1"/>
        </w:rPr>
        <w:t xml:space="preserve">Zájemo poskytnutí úvěru je signálem, že město Ostrava je pro bankysilným a důvěryhodným partnerem s dobrou ekonomickou kondicía nízkou zadlužeností. Peníze z výhodného úvěru pomohounejen s financováním významných investičních akcí a sjejich rychlou realizací, ale v návaznosti na to takés posílením ekonomiky utlumené epidemií covidu-19. Získalijsme naprosto unikátní podmínky. Většina nabídek se v případěfixní roční úrokové sazby pohybovala okolo jednoho procenta, myjsme se dostali ještě o 24 bazických bodů níže. Úvěr je velmivýhodný i s ohledem na fakt, že v průběhu následujícíchlet se očekává postupné zvyšování úrokových sazeb."</w:t>
      </w:r>
    </w:p>
    <w:p>
      <w:pPr/>
      <w:r>
        <w:rPr/>
        <w:t xml:space="preserve">Nabídkybank posuzovala tříčlenná hodnotící komise. Hlavním kritériembyla celková cena tvořená výší úroků po dobu spláceníúvěru, a dále poplatků, provizí, odměn a jiných nákladů.Komise se zabývala také srovnáním nabízené fixní a pohyblivéúrokové sazby. Peníze budou využity na několik významných staveb. </w:t>
      </w:r>
    </w:p>
    <w:p>
      <w:pPr/>
      <w:r>
        <w:rPr>
          <w:b w:val="1"/>
          <w:bCs w:val="1"/>
        </w:rPr>
        <w:t xml:space="preserve">Zuzana Bajgarová, primátor Ostravy</w:t>
      </w:r>
      <w:r>
        <w:rPr/>
        <w:t xml:space="preserve">: „</w:t>
      </w:r>
      <w:r>
        <w:rPr>
          <w:i w:val="1"/>
          <w:iCs w:val="1"/>
        </w:rPr>
        <w:t xml:space="preserve">Doroku 2023 máme naplánovánu řadu velkých investičních akcí,které jsou důležité pro všestranný rozvoj města, a budeme jez úvěru financovat. Jedná se o dokončení investičníchakcí jako rekonstrukce Jatek, podzemní parkoviště u univerzity činovostavbu domova pro seniory v Hulvákách, která budezahájena v příštím roce.</w:t>
      </w:r>
      <w:r>
        <w:rPr>
          <w:i w:val="1"/>
          <w:iCs w:val="1"/>
        </w:rPr>
        <w:t xml:space="preserve">Významnou část pak využijeme na financování vodohospodářskýchstaveb či předfinancování akcí městských obvodů. Podstatnépro nás je investice nezastavovat, naopak budeme pokračovatv nastaveném trendu - jejich realizaci.“</w:t>
      </w:r>
    </w:p>
    <w:p>
      <w:pPr/>
      <w:r>
        <w:rPr/>
        <w:t xml:space="preserve">V letošnímroce chce město vyčerpat 570 milionů korun, z toho až 150 milionůmůže být určeno na předfinancování dotačních projektů.V příštím roce by Ostrava čerpala 740 milionů, v roce2022 celkem 300 milionů a v roce 2023 posledních 190 milionůkorun.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88/ostrava-si-pujci-temer-2-miliardy-korun-utrati-je-za-zasa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2026-07-06T15:39:21+02:00</dcterms:created>
  <dcterms:modified xsi:type="dcterms:W3CDTF">2026-07-06T15:39:21+02:00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