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Ostrava-Poruba úspěšně bojuje s přemnoženými holuby. Pravidelně je odchytává</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 A to je naše taková ta, že si najdeme vhodnou půdu, tam uděláme jen určité přístupy, aby nám nemohli uletět a hlavně je tam zakrmíme, nalákáme je tam, takže nechodíme na 10 půd ale dejme tomu  máme dvě, tři půdy.” </w:t>
      </w:r>
    </w:p>
    <w:p>
      <w:pPr/>
      <w:r>
        <w:rPr/>
        <w:t xml:space="preserve">Většina odchycených holubů putuje chovatelům holubů nebo sokolníkům, kteří je používají jako potravu pro dravce.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049/ostravaporuba-uspesne-bojuje-s-premnozenymi-holuby-pravidelne-je-odchyt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2026-05-25T21:49:03+02:00</dcterms:created>
  <dcterms:modified xsi:type="dcterms:W3CDTF">2026-05-25T21:49:03+02:00</dcterms:modified>
</cp:coreProperties>
</file>

<file path=docProps/custom.xml><?xml version="1.0" encoding="utf-8"?>
<Properties xmlns="http://schemas.openxmlformats.org/officeDocument/2006/custom-properties" xmlns:vt="http://schemas.openxmlformats.org/officeDocument/2006/docPropsVTypes"/>
</file>