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kulturních akcí světelné majáky. Ostravské kulturní stánky ukázaly, že kultura nikam nezmizí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jenom říct, že i přesto, že tady je nějaký lockdown kulturních institucí, divadel a kulturních center, tak i přesto 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 </w:t>
      </w:r>
      <w:r>
        <w:rPr/>
        <w:t xml:space="preserve">“V Akordu je trošku jiná situace. protože nemáme prostor, odkud bychom to pustili a je tam velký světelný smog. 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Světelný maják, který vycházel tady od kulturního domu Poklad v Ostravě-Porubě, šel vidět až 10 km daleko. </w:t>
      </w:r>
    </w:p>
    <w:p>
      <w:pPr/>
      <w:r>
        <w:rPr/>
        <w:t xml:space="preserve">Maják zajišťovala 4 silná světla, která se ovládala přes počítač. 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370/misto-kulturnich-akci-svetelne-majaky-ostravske-kulturni-stanky-ukazaly-ze-kultura-nikam-ne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2026-04-08T09:52:55+02:00</dcterms:created>
  <dcterms:modified xsi:type="dcterms:W3CDTF">2026-04-08T09:52:55+02:00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