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Novém Jičíně pokryl nový trávník, do konce roku jej olemuje tartan</w:t>
      </w:r>
    </w:p>
    <w:p>
      <w:pPr/>
      <w:r>
        <w:rPr/>
        <w:t xml:space="preserve">Přestavba areálu letního stadionu v Novém Jičíně začala v červnu. Teď už je zhruba z 80 procent hotova. Uprostřed je položen nový přírodní trávník, pod kterým je vybudován umělý zavlažovací systém. </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Oprava fotbalového trávníku včetně atletických sektorů, které jsou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388/fotbalovy-stadion-v-novem-jicine-pokryl-novy-travnik-do-konce-roku-jej-olemuje-tar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2026-05-22T00:20:47+02:00</dcterms:created>
  <dcterms:modified xsi:type="dcterms:W3CDTF">2026-05-22T00:20:47+02:00</dcterms:modified>
</cp:coreProperties>
</file>

<file path=docProps/custom.xml><?xml version="1.0" encoding="utf-8"?>
<Properties xmlns="http://schemas.openxmlformats.org/officeDocument/2006/custom-properties" xmlns:vt="http://schemas.openxmlformats.org/officeDocument/2006/docPropsVTypes"/>
</file>