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střednědobý výhled rozpočtu obce</w:t>
      </w:r>
    </w:p>
    <w:p>
      <w:pPr/>
      <w:r>
        <w:rPr/>
        <w:t xml:space="preserve">Vzhledem k celkové ekonomické situaci v zemi je střednědobý výhled koncipován konzervativně ve snaze přijmout zatím negativní ekonomický vývoj. Případné výpadky na straně příjmu chce radnice eliminovat využitím dotačních titulů k zajištění investičních akcí pro rozvoj obce.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„Nevíme, jak to vlastně bude, jestli se ten plán naplní, protože v současné době máme různá opatření, už nyní je v Senátu daňový balíček, který velice poškozuje veřejné rozpočty a bude velký problém najít kompromis mezi zájmy přidat peněz občanům a neublížit obcím. Na druhé straně tady ještě máme problematiku dolů, kdy doly se zavírají. Uvidíme, jak to bude. Takže říkám, plán máme schválen, ale jaká bude skutečnost, uvidíme.“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076/zastupitele-schvalili-strednedoby-vyhled-rozpoctu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2026-04-21T11:47:41+02:00</dcterms:created>
  <dcterms:modified xsi:type="dcterms:W3CDTF">2026-04-21T11:47:41+02:00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