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 schválil rozpočet. Počítá s nižšími příjmy, i přesto chce investovat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 porovnání s rokem 2020 plánujeme příjmy nižší o 117,9 milionu korun. Je to markantní výpadek, se kterým se musíme vyrovnat. Obecně bych celkově rozpočet charakterizoval slovem obezřetně, protože tento rok nás vyučil a epidemická situace není příznivá ani na příští rok. My se budeme snažit plánovat poctivě, nicméně jde o to, že některé věci neumíme odhadnout. To znamená, že radši volíme konzervativní variantu s tím, že nechceme moc omezovat investice. Ty investice jsme na příští rok naplánovali tak, aby odpovídaly zhruba letošní očekávané zkušenosti. To znamená cca 460 milionů, což si myslím, že je v našich silách a doufejme, že to prospěje nám všem, protože nemá smysl ty peníze úplně bezhlavě šetřit. Nicméně některá opatření zejména v příspěvkových organizacích jsme museli přijmout, uvidíme, co bude dál, zejména v lednu.” </w:t>
      </w:r>
    </w:p>
    <w:p>
      <w:pPr/>
      <w:r>
        <w:rPr/>
        <w:t xml:space="preserve">Značné investice půjdou do nových parkovacích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Havířově je problém s parkováním. Snažíme se to řešit, snažíme se stavět nová parkoviště a v příštím roce máme naplánovaná tři nová parkoviště. Věřím, že rozšířením investičních akcí se nám podaří realizovat ještě jedno parkoviště. Uvidíme, jakým způsobem budeme získávat ceny v soutěžích a věřím, že tento problém s parkování se nám daří, alespoň trochu zlepšovat. Další velkou akcí jsou chytré křižovatky, kde aktuálně soutěžíme zhotovitele a věříme, že když se nám podaří vybrat zhotovitele, tak v příštím roce město bude opět bezpečnější. Chceme ještě opravovat a vyměnit okna ve školách a další věci. V dnešní době je situace trochu nepřehledná, takže uvidíme, jakým způsobem se budou vyvíjet příjmy v příštím roce. Věřím, že to zvládneme a bude to dobré.” </w:t>
      </w:r>
    </w:p>
    <w:p>
      <w:pPr/>
      <w:r>
        <w:rPr/>
        <w:t xml:space="preserve">Zastupitelé také schválili navýšení poplatku za odpad. Ten stoupne o sedm korun za měsíc.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"Vydaly se nové zákony, sledujeme novelu zákonů pečlivě a bude to mít samozřejmě dopad i na města. My jsme v letošním roce ještě naposledy přistoupili ke zvýšení poplatku. Zvýšili jsme sazbu za komunální odpad a to z částky 588 korun  na 672 korun. Navýšení těch 84 korun je sedm korun na měsíc, což věříme, že nebude mít na naše občany nějaký zásadní dopad. V roce 2022 neplánujeme další navýšení, a to z toho důvodu, že pořád věříme v projekt CEVYKO, který by měl vycházet ze závěru právě schváleného zákona o odpadech. To znamená, že chceme zvýšit podíl míry recyklace a separace a díky tomu ušetřit prostředky tak, abychom nevyváželi odpadky na skládky v takovém množství odpadu, které vyvážíme dneska.” </w:t>
      </w:r>
    </w:p>
    <w:p>
      <w:pPr/>
      <w:r>
        <w:rPr/>
        <w:t xml:space="preserve">Město v příštím roce naopak nepočítá se zvýšením nájemného.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"Městská realitní agentura nebude upravovat nájemné v lednu příštího roku a ani v průběhu příštího roku toto v plánu není. Opravujeme a rekonstruujeme pouze do výše příjmu z nájemného. To znamená, příjem je takový, jaký je a z toho budeme opravovat. Opravy výtahů, které začnou v lednu, jsou financovány úvěrem.” </w:t>
      </w:r>
    </w:p>
    <w:p>
      <w:pPr/>
      <w:r>
        <w:rPr/>
        <w:t xml:space="preserve">Městské realitní agentuře se v loňském roce podařilo snížit i dluhy z nájemného.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“Máme dlužníky ad hoc a sportovní, kteří dluží každý měsíc často a rádi. Naše právní oddělení vymáhá tyto dluhy. V tomto roce k desátému měsíci byla celková výše dluhu na nájemném 13,3 milionu korun, plus na nebytových prostorách dalších 3,5 milionu korun. Z těch 13,3 jsme k desátému měsíci vymohli do rozdílu 2,7. To znamená, že v tomto období byl nesanovaný dluh 2,7 milionu korun.”</w:t>
      </w:r>
    </w:p>
    <w:p>
      <w:pPr/>
      <w:r>
        <w:rPr/>
        <w:t xml:space="preserve">Podle společnosti se nejedná o výkyv způsobený koronavirovou krizí, ale o stabilní problém, který musí řešit.  </w:t>
      </w:r>
    </w:p>
    <w:p>
      <w:pPr/>
      <w:r>
        <w:rPr>
          <w:b w:val="1"/>
          <w:bCs w:val="1"/>
        </w:rPr>
        <w:t xml:space="preserve">Róbert Masarovič (ANO), zastupitel, jednatel MRA:</w:t>
      </w:r>
      <w:r>
        <w:rPr/>
        <w:t xml:space="preserve"> "Problém je ten, že nepříchozivší nájemné do fondu nájemního bydlení znamení nižší objem oprav v následujícím období. Další nájemníci, kteří platí, tak platí na ty nájemníky, kteří neplatí. To je taková nezdravá solidarita, bych řekl.”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67/havirov--schvalil-rozpocet-pocita-s-nizsimi-prijmy-i-presto-chce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2026-05-12T19:21:50+02:00</dcterms:created>
  <dcterms:modified xsi:type="dcterms:W3CDTF">2026-05-12T19:21:50+02:00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