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7.1.2021,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omezil reklamu v památkových zónách, majitelé provozoven mohou žádat o dotaci na nové označení</w:t>
      </w:r>
    </w:p>
    <w:p>
      <w:pPr/>
      <w:r>
        <w:rPr/>
        <w:t xml:space="preserve">Divoká reklama, barevné bannery na plotech a zábradlích, různé  polepy na oknech nebo fasádách historických domů. V památkových zónách  města už by měla taková reklama skončit.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"Rada města na závěr loňského roku přijala nařízení, kterým  omezuje reklamu v historickém jádru Frýdku a v historickém jádru  Místku, v takzvaných památkových zónách. Je to z toho důvodu, že  trend poslední doby je, aby nebyla křiklavá reklama na jednotlivých  provozovnách, aby to bylo nějakým způsobem sjednoceno a unifikováno."</w:t>
      </w:r>
    </w:p>
    <w:p>
      <w:pPr/>
      <w:r>
        <w:rPr/>
        <w:t xml:space="preserve">Příklad si vzalo město z Ostravy, která zavedla podobné  nařízení už před rokem. Majitelé podniků ve Frýdku-Místku budou ale moci po  městě žádat částečnou úhradu nákladů spojených s vytvořením nového kultivovaného  označení. </w:t>
      </w:r>
    </w:p>
    <w:p>
      <w:pPr/>
      <w:r>
        <w:rPr>
          <w:b w:val="1"/>
          <w:bCs w:val="1"/>
        </w:rPr>
        <w:t xml:space="preserve">Jakub Míček, náměstek primátora Frýdku-Místku:</w:t>
      </w:r>
      <w:r>
        <w:rPr/>
        <w:t xml:space="preserve"> "Dotace je určena na úhradu nákladů na návrh a grafické  zpracování označení provozovny, jeho výrobu i konečnou instalaci. Maximální dotace  na jeden projekt činí 50 procent z uznatelných nákladů, nejvýše pak 30  tisíc korun. Žádosti budou moci vlastníci a provozovatelé provozoven  nacházejících se na území města podávat od 20. ledna do poloviny července."</w:t>
      </w:r>
    </w:p>
    <w:p>
      <w:pPr/>
      <w:r>
        <w:rPr/>
        <w:t xml:space="preserve">Magistrát pracoval minulý rok na manuálu, který by měl  podnikatelům také říct, jak mají správně podniky označit. Podrobnosti najdou na  webu města. </w:t>
      </w:r>
    </w:p>
    <w:p>
      <w:pPr/>
      <w:r>
        <w:rPr>
          <w:b w:val="1"/>
          <w:bCs w:val="1"/>
        </w:rPr>
        <w:t xml:space="preserve">Ondřej Zdvomka, hlavní architekt Frýdku-Místku:</w:t>
      </w:r>
      <w:r>
        <w:rPr/>
        <w:t xml:space="preserve"> "By měly zajistit, že jednak se ty provozovny propagují,  jednak ta reklama musí vždycky fungovat, ale jde o to, jak výrazná je a jak  zatěžuje třeba i ty, na které necílit. Takže my se snažíme dostat to do  rovnováhy, aby zároveň neobtěžovala a zároveň propagovala, proto hlavně jdeme  pozitivní cestou motivace, a proto vypisujeme ten dotační program, který  vlastně motivuje ty ne úplně dobře zpracované označení, aby se zlepšily a abychom  prostě to měli hezčí."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"Spustili jsme tento zkušební provoz, kdy podnikatelé mají  přechodné období, během kterého musí své provozovny upravit a následně by ta estetika  historického centra Frýdku-Místku měla být o poznání lepší."</w:t>
      </w:r>
    </w:p>
    <w:p>
      <w:pPr/>
      <w:r>
        <w:rPr/>
        <w:t xml:space="preserve">Pro letošní rok je na dotační program „Reklama F-M – podpora  a zřízení či obnovy označení provozoven“ vyčleněno z městského rozpočtu  300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524/frydekmistek-omezil-reklamu-v-pamatkovych-zonach-majitele-provozoven-mohou-zadat-o-dotaci-na-nove-ozna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2026-08-17T21:07:27+02:00</dcterms:created>
  <dcterms:modified xsi:type="dcterms:W3CDTF">2026-08-17T21:07:27+02:00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