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investuje do komunikací, sportu a uvažuje o koupi hotelu</w:t>
      </w:r>
    </w:p>
    <w:p>
      <w:pPr/>
      <w:r>
        <w:rPr/>
        <w:t xml:space="preserve">Rozpočet Čeladné na rok 2021 se pohybuje zhruba ve výši 49 milionů korun. Podle prognóz ministerstva financí musí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 </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i nafukovací hala. Zajímavý investiční projekt se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609/celadna-investuje-do-komunikaci-sportu-a-uvazuje-o-koupi-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2026-07-05T06:12:51+02:00</dcterms:created>
  <dcterms:modified xsi:type="dcterms:W3CDTF">2026-07-05T06:12:51+02:00</dcterms:modified>
</cp:coreProperties>
</file>

<file path=docProps/custom.xml><?xml version="1.0" encoding="utf-8"?>
<Properties xmlns="http://schemas.openxmlformats.org/officeDocument/2006/custom-properties" xmlns:vt="http://schemas.openxmlformats.org/officeDocument/2006/docPropsVTypes"/>
</file>