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26.2.2021,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BĚŽÍ: Moravskoslezský kraj opět podpoří sociální firmy a chráněné dílny</w:t>
      </w:r>
    </w:p>
    <w:p>
      <w:pPr/>
      <w:r>
        <w:rPr>
          <w:b w:val="1"/>
          <w:bCs w:val="1"/>
        </w:rPr>
        <w:t xml:space="preserve">Jakub Mateiciuc, prezident klastru SINEC</w:t>
      </w:r>
      <w:r>
        <w:rPr/>
        <w:t xml:space="preserve">: “Já bych za klast Sinec poděkoval vedení Moravskoslezského kraje za to, že i v této těžké covidové době podpoří firmy a chráněné dílny touto dotací, na které jsme se v minulosti dohodli… a že i přes jisté problémy ve veřejném sektoru poskytne dotaci.”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304/leta-bezi-moravskoslezsky-kraj-opet-podpori-socialni-firmy-a-chranen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2026-08-05T05:57:20+02:00</dcterms:created>
  <dcterms:modified xsi:type="dcterms:W3CDTF">2026-08-05T05:57:20+02:00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