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řešil druhé kolo prodeje parcel a sedmiletou strategii</w:t>
      </w:r>
    </w:p>
    <w:p>
      <w:pPr/>
      <w:r>
        <w:rPr/>
        <w:t xml:space="preserve">Zastupitelé Nového Jičína na své březnové schůzi projednávali výsledky prodeje městských pozemků pro výstavbu rodinných domů v lokalitě Za školou v Žilině. V prvním kole nabídek získalo 14 parcel z 23 své vlastníky.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“Dojde k podepsání smluv.  Odsouhlasili jsme, že zbývajících devět pozemků opět nabídneme k prodeji formou elektronické dražby. Tento způsob prodeje nám připadá ještě více transparentní.”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“Ceny zůstávají stejné, tedy 1650 korun za metr čtvereční bez DPH, to je ta minimální vyhlašovací cena. Ti zájemci mohou v tom online prostředí naživo činit ty příhozy.”  </w:t>
      </w:r>
    </w:p>
    <w:p>
      <w:pPr/>
      <w:r>
        <w:rPr/>
        <w:t xml:space="preserve">Druhé kolo prodeje bude vyhlášen začátkem dubna. </w:t>
      </w:r>
    </w:p>
    <w:p>
      <w:pPr/>
      <w:r>
        <w:rPr/>
        <w:t xml:space="preserve">Dalším bodem jednání bylo přijetí strategického plánu rozvoje města do roku 2027. Je výsledkem názorů koalice, opozice, odborníků, podnikatelů a obyvatel, kteří se vyjadřovali formou dotazníku.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důležitý z několika důvodů. Jednak je často podmínkou pro získání dotace, aby daný projekt, na který o dotaci žádáme, byl ve strategickém plánu. Zároveň je to i jakási záruka, že tyto dané věci budeme realizovat nezávisle na tom, které vedení zrovna bude na radnici.”</w:t>
      </w:r>
    </w:p>
    <w:p>
      <w:pPr/>
      <w:r>
        <w:rPr/>
        <w:t xml:space="preserve">Všeobecná shoda tak panuje například na záchraně Hückelových vil nebo dokončení kulturního domu z přístavby Hotelu Praha.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586/novy-jicin-resil-druhe-kolo-prodeje-parcel-a-sedmiletou-strate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2026-06-19T15:39:12+02:00</dcterms:created>
  <dcterms:modified xsi:type="dcterms:W3CDTF">2026-06-19T15:39:12+02:00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