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Díry na silnicích nechtějí v Novém Jičíně jen obyčejně lepit</w:t>
      </w:r>
    </w:p>
    <w:p>
      <w:pPr/>
      <w:r>
        <w:rPr/>
        <w:t xml:space="preserve">Z hlediska údržby komunikací patřila uplynulá zimní sezona k těm náročnějším, výsledkem je také rekordní množství výtluků, které se objevily na komunikacích - i v Novém Jičíně. Město je tu ale nechce jen obyčejně zalepit.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Bez děr už je například ulice Propojovací, další na řadě je Tyršova. Mimo tyto dílčí zákroky má ale město naplánovány i celoplošné opravy ulic.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31/diry-na-silnicich-nechteji-v-novem-jicine-jen-obycejne-le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2026-04-06T04:39:07+02:00</dcterms:created>
  <dcterms:modified xsi:type="dcterms:W3CDTF">2026-04-06T04:39:07+02:00</dcterms:modified>
</cp:coreProperties>
</file>

<file path=docProps/custom.xml><?xml version="1.0" encoding="utf-8"?>
<Properties xmlns="http://schemas.openxmlformats.org/officeDocument/2006/custom-properties" xmlns:vt="http://schemas.openxmlformats.org/officeDocument/2006/docPropsVTypes"/>
</file>