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pár let přejít na ekologičtější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se snažíme najít model ve spolupráci s lídrem na trhu v těchto technologiích tak, abychom byli schopni zachovat dostupné ceny tepla a hlavně dlouhodobě tu energetiku udržitelnou. Dnes je jasné, že krajský odklon od vytápění uhlím je zcela evidentní. Tady do budoucna přejdeme na jiné technologie a město si nečiní ambici býti ten, kdo říká jaké technologie, proto jsem rád, že jsme se dohodli s tím nejlepším na trhu, kdo by byl schopný projektovat a případně ta jednotlivá řešení navrhovat. My chceme zachovat v co největší míře centrální zásobování teplem, ale ne vždy a za všech okolností jsme my, kdo určuje, jestli daný objekt bude dál zásobován z centrálního zdroje a v poslední době čelíme odpojování od centrálních zdrojů, legislativně je to v pořádku. My jsme až do teď nebyli schopni těm lidem, sdružením, nájemníkům, kteří se odpojovali, nabídnout jinou alternativu. Dnes jsme na prahu toho, že jim budeme schopni nabídnout řešení.”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 </w:t>
      </w:r>
      <w:r>
        <w:rPr/>
        <w:t xml:space="preserve">"Budeme se bavit s politickým vedením kraje a panem hejtmanem právě o budoucnosti centrální energetiky. A já strašně rád použiji Havířov jako příklad, který mimochodem jde příkladem všem městům v ČR. Za druhé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34/havirov-chce-do-par-let-prejit-na-ekologictejs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