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Fontána na náměstí se dočká rekonstrukce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 „Problém  je v tom, že při samotné realizaci, která proběhla v roce 2001, místo  toho, aby byla posazena plastová jímka do železobetonové jímky, byla zvolena  samonosná plastová nádrž a teď se nám začaly vydouvat stěny ve  spodní nádrži.“</w:t>
      </w:r>
    </w:p>
    <w:p>
      <w:pPr/>
      <w:r>
        <w:rPr/>
        <w:t xml:space="preserve">Aby bylo možné kašnu provozovat i v dalších letech,  musí projít zásadní opravou. Radnice se rozhoduje mezi dvěma variantami.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„Možností  je, zrekonstruovat kompletně celou kašnu včetně fontány. Řešíme také s projektanty  jinou variantu, aby mohl být zachován bezproblémový provoz. Nicméně spodní část  jímky je třeba zrekonstruovat celou včetně technologie, která se tam nachází.“</w:t>
      </w:r>
    </w:p>
    <w:p>
      <w:pPr/>
      <w:r>
        <w:rPr/>
        <w:t xml:space="preserve">    Během léta bude vypracovaná projektová dokumentace.  Aby byl zachován provoz kašny, tak je rekonstrukce naplánovaná na podzim  letošního roku. Kolik bude oprava město stát se zatím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400/fontana-na-namesti-se-doc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2026-07-27T19:29:11+02:00</dcterms:created>
  <dcterms:modified xsi:type="dcterms:W3CDTF">2026-07-27T19:29:11+02:00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