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Výpadek v dodávce antigenních testů stál Opavu  300 000 Kč</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Školy  pokryly výpadek dodávání testů z ministerstva ze  zdrojů, které  měly, ze zásob. A jakmile neměly, tak se obrátily na zřizovatele.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w:t>
      </w:r>
    </w:p>
    <w:p>
      <w:pPr/>
      <w:r>
        <w:rPr/>
        <w:t xml:space="preserve">Jedna  z největších opavský základních škol  potřebuje na jeden  týden asi 400 testů. Zatím zásilka z města postačí. Od 24.  května totiž slíbilo ministerstvo školství dodávky obnovit.</w:t>
      </w: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Výsledek  je známý za šest hodin. Dozví se jej jak rodiče dětí, tak i  vedení školy.</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577/vypadek-v-dodavce-antigennich-testu-stal-opavu--300-0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2026-05-17T00:39:59+02:00</dcterms:created>
  <dcterms:modified xsi:type="dcterms:W3CDTF">2026-05-17T00:39:59+02:00</dcterms:modified>
</cp:coreProperties>
</file>

<file path=docProps/custom.xml><?xml version="1.0" encoding="utf-8"?>
<Properties xmlns="http://schemas.openxmlformats.org/officeDocument/2006/custom-properties" xmlns:vt="http://schemas.openxmlformats.org/officeDocument/2006/docPropsVTypes"/>
</file>