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Euroregion Praděd s představiteli obcí a kraje jednal na Slezské Hartě o projektech cestovního ruchu</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zjistiti potřeby větších obcí formou spolupráce s mikroregiony a rádi bychom definovali společné potřeby a zároveň našli způsoby, jakými je řešit.“</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w:t>
      </w:r>
      <w:r>
        <w:rPr/>
        <w:t xml:space="preserve">„Nás opravdu nejvíc trápí sjízdnost do naší obce i přes naši obec, to jsou krajské cesty, které jsou v havarijním stavu.“</w:t>
      </w:r>
    </w:p>
    <w:p>
      <w:pPr/>
      <w:r>
        <w:rPr/>
        <w:t xml:space="preserve"> Pro účastníky jednání byla připravena prohlídka infocentra Slezská Harta, zázemí pro turisty i plavba elektrolodí Harta s odborným komentářem.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795/euroregion-praded-s-predstaviteli-obci-a-kraje-jednal-na-slezske-harte-o-projektech-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2026-05-13T21:59:06+02:00</dcterms:created>
  <dcterms:modified xsi:type="dcterms:W3CDTF">2026-05-13T21:59:06+02:00</dcterms:modified>
</cp:coreProperties>
</file>

<file path=docProps/custom.xml><?xml version="1.0" encoding="utf-8"?>
<Properties xmlns="http://schemas.openxmlformats.org/officeDocument/2006/custom-properties" xmlns:vt="http://schemas.openxmlformats.org/officeDocument/2006/docPropsVTypes"/>
</file>