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Podtrženo, sečteno. Loňské hospodaření radnice MOaP skončilo se ziskem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“Co se týká kapitálových výdajů, tak tam jsme utratili 128 milionů 903 tisíc. To je o zhruba 24 milionů více oproti loňskému roku. Což je dobrá zpráva, protože můžeme říct, že jsme jednak opravili školy, jednak jsme opravili i některé byty a nebytové prostory. Co se týká škol, tak ta investice byla největší na opravu ZŠ Gebauerova, odloučené pracoviště Ibsenova. Tam jsme renovovali prakticky celou školu.”</w:t>
      </w:r>
    </w:p>
    <w:p>
      <w:pPr/>
      <w:r>
        <w:rPr/>
        <w:t xml:space="preserve">Právě investice do rekonstrukce bytů a nebytových prostor, které byly loni rekordní, byly tou nejlepší volbou vzhledem k tomu, jakým tempem letos narůstají ceny stavebních materiálů.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“My jsme se dostali na částku 60 milionů korun investic do bytového fondu. Docházelo k regeneraci, opravám, zrenovovali jsme byty. To znamená, že se s tím také zvýšil nájem, protože se zvýšila kvalita bydlení. Dneska by tento graf, kdyby jsme tu samou práci chtěli udělat, tak by to mohlo být klidně o třetinu víc. Takže právě to, že jsme v roce 2020 nelenili, naopak dneska už nám to přináší do rozpočtu nějaké prostředky.”</w:t>
      </w:r>
    </w:p>
    <w:p>
      <w:pPr/>
      <w:r>
        <w:rPr/>
        <w:t xml:space="preserve">I přesto, že se zvýšily nájmy, bydlení v centru města je stále za velmi dostupné ceny.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246/podtrzeno-secteno-lonske-hospodareni-radnice-moap-skoncilo-se-z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