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10.8.2021,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Objem skleníkových plynů bude narůstat</w:t>
      </w:r>
    </w:p>
    <w:p>
      <w:pPr/>
      <w:r>
        <w:rPr/>
        <w:t xml:space="preserve">Loni se kvůli protiepidemickým opatřením snížila globální  produkce oxidu uhličitého související s energií na 31,4 miliardy tun. Letos to  však podle nejnovější studie vypadá na druhý nejvyšší meziroční nárůst produkce  v historii, kvůli ekonomickému zotavování. Emise vzrostou i napřesrok a v roce  2023 pak překonají dosavadní rekord z roku 2018, odhaduje agentura.</w:t>
      </w:r>
    </w:p>
    <w:p>
      <w:pPr/>
      <w:r>
        <w:rPr/>
        <w:t xml:space="preserve">Ani tam se však podle ní nárůst nezastaví a v následujících  letech bude pokračovat, což významně ohrozí snahu o uhlíkovou neutralitu v roce  2050, k níž se hlásí drtivá většina států. Prohlášení vlád z celého světa, že  po pandemii bude budoucnost „čistější”, tak podle šéfa IEA Fatiha Birola  zůstala pouze u slibů.</w:t>
      </w:r>
    </w:p>
    <w:p>
      <w:pPr/>
      <w:r>
        <w:rPr/>
        <w:t xml:space="preserve">Agentura spočítala odhad produkce emisí na základě víc než  800 státních programů udržitelného oživení, které jsou zveřejněné na jejím  webu. „Navzdory zvýšeným klimatickým ambicím je objem finančních prostředků na  hospodářské oživení vynakládaných na čistou energii minimální,” uvedl Birol.</w:t>
      </w:r>
    </w:p>
    <w:p>
      <w:pPr/>
      <w:r>
        <w:rPr/>
        <w:t xml:space="preserve">Vlády se totiž zavázaly v této  oblasti k investicím za 380 miliard dolarů (8,3 bilionu korun), což jsou pouhá  dvě procenta z celkové částky určené na podporu ekonomik po pandemii. Aby svět  skutečně dosáhl do roku 2050 uhlíkové neutrality, bylo by podle IEA potřeba  vynaložit minimálně třikrát tolik peněz.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938/objem-sklenikovych-plynu-bude-narus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2026-08-31T12:17:57+02:00</dcterms:created>
  <dcterms:modified xsi:type="dcterms:W3CDTF">2026-08-31T12:17:57+02:00</dcterms:modified>
</cp:coreProperties>
</file>

<file path=docProps/custom.xml><?xml version="1.0" encoding="utf-8"?>
<Properties xmlns="http://schemas.openxmlformats.org/officeDocument/2006/custom-properties" xmlns:vt="http://schemas.openxmlformats.org/officeDocument/2006/docPropsVTypes"/>
</file>