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v projektu Průmysl 4.0 otevřela modelovou výrobní linku, laboratoř a inkubátor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mají i mimo ty linky, které tady mají fyzicky, si mají možnost ve virtuálním prostředí si vyskládat."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>
          <w:b w:val="1"/>
          <w:bCs w:val="1"/>
        </w:rPr>
        <w:t xml:space="preserve">Lukáš Šulkovský, učitel odborných předmětů:</w:t>
      </w:r>
      <w:r>
        <w:rPr/>
        <w:t xml:space="preserve"> „Spustíme ten program a ta linka vlastně na něj reaguje a jednotlivé bloky nám začnou vyrábět ten prvek.“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 a dle mého názoru je to vzorový příklad, jak by to mělo vypadat i na ostatních školách." </w:t>
      </w:r>
    </w:p>
    <w:p>
      <w:pPr/>
      <w:r>
        <w:rPr/>
        <w:t xml:space="preserve">  Učebna, laboratoř i podnikatelský inkubátor budou sloužit studentům oborů strojírenství, informatika a dopravní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86/bruntalska-prumyslovka-v-projektu-prumysl-40-otevrela-modelovou-vyrobni-linku-laborator-a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2026-04-21T03:06:30+02:00</dcterms:created>
  <dcterms:modified xsi:type="dcterms:W3CDTF">2026-04-21T03:06:30+02:00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