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chce rozvíjet onkologickou péči</w:t>
      </w:r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</w:rPr>
        <w:t xml:space="preserve">Marta Marčová, vedoucí onkologické organizace INNA Havířov:</w:t>
      </w:r>
      <w:r>
        <w:rPr/>
        <w:t xml:space="preserve"> "Já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</w:rPr>
        <w:t xml:space="preserve">Josef Kopecký, primář urologického oddělení Nemocnice Havířov:</w:t>
      </w:r>
      <w:r>
        <w:rPr/>
        <w:t xml:space="preserve"> "Psychika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 mohou nyní pomoci více pacientům.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“Naší snahou do budoucna je jednoznačně mít vlastního onkologa na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>
          <w:i w:val="1"/>
          <w:iCs w:val="1"/>
        </w:rPr>
        <w:t xml:space="preserve">V současné době jen na chemoterapii dochází do stacionáře na 100 pacientů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11/nemocnice-v-havirove-chce-rozvijet-onkologick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2026-05-13T04:22:34+02:00</dcterms:created>
  <dcterms:modified xsi:type="dcterms:W3CDTF">2026-05-13T04:22:34+02:00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