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regulaci reklamy. Její umístění bude mít striktní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„Odkaz  kvalitní historické architektury a charakteru města je  reklamou poškozován. Často se objevují vývěsy, spontánní i  improvizované na fasádách.“</w:t>
      </w:r>
    </w:p>
    <w:p>
      <w:pPr/>
      <w:r>
        <w:rPr/>
        <w:t xml:space="preserve">  Reklamní  polepy na oknech, tabule ve štítech domů, vývěsky nejrůznějších  velikostí a barev narušují vnímání veřejného prostoru, který  se tak sám stává nekončící reklamní plochou.</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Lidé tabule s textem nevnímají  nebo se ani nesnaží popsané poutače, které upozorňují třeba  na výprodej, číst.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A tak opavská radnice začala nejprve s  regulací reklamy na budovách, které jsou ve vlastnictví města.  Nájemníci dostali návod, kam reklamu správně umístit. A tak to  také udělali. Nyní bude toto nařízení závazné také pro  ostatní.</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 které  tvář centra  města poškozují.“</w:t>
      </w:r>
    </w:p>
    <w:p>
      <w:pPr/>
      <w:r>
        <w:rPr/>
        <w:t xml:space="preserve">  Regulaci  reklamy musí ještě schválit rada města. Platit  by mohla od  příštího roku. Komu nebudou připravené pokyny jasné, může  požádat o konzultaci odbor hlavního architekta.     Majitelé  provozoven budou mít  dostatek času na to, aby svou venkovní  reklamu zkorigovali. Ovšem v případě, že se tak nestane, může  být za tento přestupek uložena pokuta ve výši až 100 000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228/opava-chysta-regulaci-reklamy-jeji-umisteni-bude-mit-striktni-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2026-06-23T23:34:25+02:00</dcterms:created>
  <dcterms:modified xsi:type="dcterms:W3CDTF">2026-06-23T23:34:25+02:00</dcterms:modified>
</cp:coreProperties>
</file>

<file path=docProps/custom.xml><?xml version="1.0" encoding="utf-8"?>
<Properties xmlns="http://schemas.openxmlformats.org/officeDocument/2006/custom-properties" xmlns:vt="http://schemas.openxmlformats.org/officeDocument/2006/docPropsVTypes"/>
</file>