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mladý řemeslník roku 2021 převzal v senátu ČR student Jiří Grulich z varhanářské školy v Krnově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</w:t>
      </w:r>
    </w:p>
    <w:p>
      <w:pPr/>
      <w:r>
        <w:rPr>
          <w:b w:val="1"/>
          <w:bCs w:val="1"/>
        </w:rPr>
        <w:t xml:space="preserve">Jiří Holinka„ zástupce ředitelky pro praktická cvičení: </w:t>
      </w:r>
      <w:r>
        <w:rPr/>
        <w:t xml:space="preserve">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>
          <w:b w:val="1"/>
          <w:bCs w:val="1"/>
        </w:rPr>
        <w:t xml:space="preserve">Jiří Grulich, oceněný student:</w:t>
      </w:r>
      <w:r>
        <w:rPr/>
        <w:t xml:space="preserve"> 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 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49/oceneni-mlady-remeslnik-roku-2021-prevzal-v-senatu-cr-student-jiri-grulich-z-varhanarske-skol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2026-05-13T08:24:00+02:00</dcterms:created>
  <dcterms:modified xsi:type="dcterms:W3CDTF">2026-05-13T08:24:00+02:00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