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každým rokem opraví více chodníků a silnic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 Další rozsáhlé opravy byly na ulici Bedřicha Nikodéma, dále se v posledních letech snažíme opravovat celá náměstí, náměstí Jana Nerudy.”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“Je to poměrně rozsáhlá, veliká akce, kdy opravujeme 1700 metrů asfaltové plochy, což je tady ta cesta, kterou vidíte za mnou a zároveň opravujeme cirka 800 metrů chodníků. K tomu, když přičteme zásahy do zeleně, ořezaly se stromy, bude tady workoutové hřiště.”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 Je to uzpůsobeno, aby nějakým způsobem kořenové systémy stromů nenarušily trvale ten chodník, aby ho bylo kdykoli možno poměrně rychle a operativně opravit.”</w:t>
      </w:r>
    </w:p>
    <w:p>
      <w:pPr/>
      <w:r>
        <w:rPr/>
        <w:t xml:space="preserve">V opravách se bude pokračovat i příští rok. V plánu je například rekonstrukce vnitrobloku na ulici Rajmonda Prchaly, nebo revitalizace Nálepkova náměstí a náměstí Václava Vacka. 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“Příští rok 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637/v-ostraveporube-kazdym-rokem-opravi-vice-chodnik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