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Jaký bude přínos CEETe?</w:t>
      </w:r>
    </w:p>
    <w:p>
      <w:pPr/>
      <w:r>
        <w:rPr/>
        <w:t xml:space="preserve">Výzkumná infrastruktura je od začátku navrhována také v úzké spolupráci s potenciálními odběrateli plánovaných služeb tak, aby odpovídala současným potřebám aplikační sféry především z oborů energetiky, metalurgie, strojírenství, dopravy, ICT či odpadového a vodního hospodářství.</w:t>
      </w:r>
    </w:p>
    <w:p>
      <w:pPr/>
      <w:r>
        <w:rPr/>
        <w:t xml:space="preserve">Komplexní pohled na alternativní zdroje energie, jejich přeměnu a následné využití včetně akumulace je významnou nadstavbou projektu, stejně jako modulární přístup k energetickým zdrojům a jejich zpracování. Modularita a schopnost využití energetických zdrojů podle místních možností zákazníka jsou klíčovými parametry pro technologická řešení „na míru“ uživatele. </w:t>
      </w:r>
    </w:p>
    <w:p>
      <w:pPr/>
      <w:r>
        <w:rPr/>
        <w:t xml:space="preserve">Vybudování CEETe finančně podpoří Ministerstvo průmyslu a obchodu v rámci Operačního programu Podnikání a inovace pro konkurenceschopnost dotací ve výši cca 208 milionů korun, zhruba 50 milionů korun přispěje ze svého rozpočtu Moravskoslezský kraj. Dofinancování zajistí CEET, vysokoškolský ústav VŠB-TUO, který vznikl spojením čtyř vědeckých univerzitních center s ambicí stát se lídrem energetického výzkumu v ČR. Jeho posláním je podpora surovinové nezávislosti a energetického využití alternativních paliv, rozvoj energetické soběstačnosti a bezpečnosti ČR s využitím výsledků vědy a výzkumu. Investice za 350 milionů korun má být dokončena na podzim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55/energie-a-kraj-jaky-bude-prinos-ce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2026-07-26T07:55:25+02:00</dcterms:created>
  <dcterms:modified xsi:type="dcterms:W3CDTF">2026-07-26T07:55:25+02:00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