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krytého bazénu zaplatí Studénka 21 milionů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w:t>
      </w:r>
    </w:p>
    <w:p>
      <w:pPr/>
      <w:r>
        <w:rPr>
          <w:b w:val="1"/>
          <w:bCs w:val="1"/>
        </w:rPr>
        <w:t xml:space="preserve">Radmila Nováková,  vedoucí odboru SŘÚPaR:</w:t>
      </w:r>
      <w:r>
        <w:rPr>
          <w:i w:val="1"/>
          <w:iCs w:val="1"/>
        </w:rPr>
        <w:t xml:space="preserve">„Součástí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163/za-rekonstrukci-kryteho-bazenu-zaplati-studenka-21-milionu-bez-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2026-05-18T09:45:22+02:00</dcterms:created>
  <dcterms:modified xsi:type="dcterms:W3CDTF">2026-05-18T09:45:22+02:00</dcterms:modified>
</cp:coreProperties>
</file>

<file path=docProps/custom.xml><?xml version="1.0" encoding="utf-8"?>
<Properties xmlns="http://schemas.openxmlformats.org/officeDocument/2006/custom-properties" xmlns:vt="http://schemas.openxmlformats.org/officeDocument/2006/docPropsVTypes"/>
</file>