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rozpočet podpoří tělovýchovnou jednotu a zubaře</w:t>
      </w:r>
    </w:p>
    <w:p>
      <w:pPr/>
      <w:r>
        <w:rPr/>
        <w:t xml:space="preserve">Na podporu stomatologické péče vyčlenil Nový Jičín celkem 5 milionů korun. Zastupitelé teď schválili první dotaci pro konkrétního zubního lékaře. Ten loni v listopadu převzal prázdnou ordinaci v budově stomatologie  a přijal do své evidence nových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V oblasti sportu žádala o dotaci Tělovýchovná jednota, na dofinancování provozu z důvodu nárůstu cen energií a absence dotací z Národní agentury pro sport. Na počátku roku avizovala schodek 2 miliony korun.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“Požádal jsem, aby mi s tím pomohlo město s tím, že pokud agentura dotaci vypíše, což do dnešního dne neučinila, tak celou částku, kterou vypíše agentura a my ji získáme, tomu městu vrátím.”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akceptováno.” </w:t>
      </w:r>
    </w:p>
    <w:p>
      <w:pPr/>
      <w:r>
        <w:rPr/>
        <w:t xml:space="preserve">Roční rozpočet TJ je zhruba 13 milionů korun, město přispívá více než 6 miliony.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38/novojicinsky-rozpocet-podpori-telovychovnou-jednotu-a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2026-06-29T18:46:07+02:00</dcterms:created>
  <dcterms:modified xsi:type="dcterms:W3CDTF">2026-06-29T18:46:07+02:00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