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- 4. 4. 2022</w:t>
      </w:r>
    </w:p>
    <w:p>
      <w:pPr/>
      <w:r>
        <w:rPr/>
        <w:t xml:space="preserve">Kraj už zajistil 400 dětem výuku na základních školách a 150 dětí je ve školkách. 60 studentů je na středních školách. Řeší se také kurzy češtiny pro děti a dospělé. Kraj zjišťuje také v jakých pracovních pozicích obyvatelé Ukrajiny pracovali a zda by mohli podobnou práci vykonávat i u nás. Například ve 220 krajských organizacích a u poskytovatelů sociálních služeb je k dispozici zatím na 350 pracovních míst, kde se řeší uplatnění uprchlíků. Spousta lidí je podle hejtmana v režimu adaptace, než integrace. Čekají, že se situace na Ukrajině zlepší a budou se moci vrátit zpátky. Krizový štáb se nově bude scházet jednou za 14 dnů, pokud se nestane mimořádná událost.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720/brifink-po-jednani-krizoveho-stabu-moravskoslezskeho-kraje--4-4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2026-05-03T07:15:32+02:00</dcterms:created>
  <dcterms:modified xsi:type="dcterms:W3CDTF">2026-05-03T07:15:32+02:00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