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zaplnil prostory bruntálského zámku dílnami, výstavami a velikonočním zbožím</w:t>
      </w:r>
    </w:p>
    <w:p>
      <w:pPr/>
      <w:r>
        <w:rPr/>
        <w:t xml:space="preserve"> Program Velikonočního jarmarku byl koncipován pro děti i dospělé.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„Malují fixama kraslice.“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„Děti tady malují perníčky.“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75/velikonocni-jarmark-zaplnil-prostory-bruntalskeho-zamku-dilnami-vystavami-a-velikonocnim-zbo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2026-06-25T00:05:19+02:00</dcterms:created>
  <dcterms:modified xsi:type="dcterms:W3CDTF">2026-06-25T00:05:19+02:00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