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plánuje rozšířit stávající hřbitovy, docházejí hrobová i urnová místa</w:t>
      </w:r>
    </w:p>
    <w:p>
      <w:pPr/>
      <w:r>
        <w:rPr/>
        <w:t xml:space="preserve">  Na území Studénky se nachází dva hřbitovy a na obou pomalu  dochází volná místa. Město nechalo zpracovat studii na jejich  rozšíření a v letošním roce vznikne projekt. Nedostatek je jak  urnových, tak i hrobových míst.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002/studenka-planuje-rozsirit-stavajici-hrbitovy-dochazeji-hrobova-i-urnov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2026-05-17T04:00:24+02:00</dcterms:created>
  <dcterms:modified xsi:type="dcterms:W3CDTF">2026-05-17T04:00:24+02:00</dcterms:modified>
</cp:coreProperties>
</file>

<file path=docProps/custom.xml><?xml version="1.0" encoding="utf-8"?>
<Properties xmlns="http://schemas.openxmlformats.org/officeDocument/2006/custom-properties" xmlns:vt="http://schemas.openxmlformats.org/officeDocument/2006/docPropsVTypes"/>
</file>