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 Novém Jičíně funguje deset let, jejím prostřednictvím pomáhá na pět set lidí</w:t>
      </w:r>
    </w:p>
    <w:p>
      <w:pPr/>
      <w:r>
        <w:rPr/>
        <w:t xml:space="preserve">Oslava 10. výročí Charity Nový Jičín se uskutečnila v Beskydském divadle. Svým pracovníkům, dobrovolníkům a podporovatelům poděkovala Charita koncertem Hradišťanu. Počátky této neziskové organizace, za nimiž stála Charita Ostrava, připomněla výstava fotografií.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tak dále.”</w:t>
      </w:r>
    </w:p>
    <w:p>
      <w:pPr/>
      <w:r>
        <w:rPr/>
        <w:t xml:space="preserve">Hlavní sídlo charitního domu zasvěceného Matce Tereze je v Novém Jičíně na Dolní bráně, druhý azylový dům pro matky s dětmi je ve Straníku.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Zdejší Charita má 25 zaměstnanců a pracovníků na dohodu, když se k tomu přičtou dobrovolníci, včetně tříkrálových koledníků, je to celkem kolem pěti set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076/charita-v-novem-jicine-funguje-deset-let-jejim-prostrednictvim-pomaha-na-pet-s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2026-06-29T06:56:30+02:00</dcterms:created>
  <dcterms:modified xsi:type="dcterms:W3CDTF">2026-06-29T06:56:30+02:00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