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Ekosystém Flascharova dolu na Odersku</w:t>
      </w: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lolikata,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w:t>
      </w:r>
    </w:p>
    <w:p>
      <w:pP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těh nepřístupných částech dolu, mohou ta brčka dosahovat až 10 cm a někdy se tady mohou vyskytovat tzv. záclonky. Když voda teče po pokulině, tak se vysráží celá linie uhličitanu vápenatého. A kromě těch bílých jsou tady i železité nebo s obsahem manganu.”</w:t>
      </w:r>
    </w:p>
    <w:p>
      <w:pPr/>
      <w:r>
        <w:rPr>
          <w:b w:val="1"/>
          <w:bCs w:val="1"/>
        </w:rPr>
        <w:t xml:space="preserve">Jan Lenart, Katedra fyzické geografie a geoekologie, Ostravská univerzita: </w:t>
      </w: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43/eko-magazin-ekosystem-flascharova-dolu-na-oder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2026-06-27T04:57:09+02:00</dcterms:created>
  <dcterms:modified xsi:type="dcterms:W3CDTF">2026-06-27T04:57:09+02:00</dcterms:modified>
</cp:coreProperties>
</file>

<file path=docProps/custom.xml><?xml version="1.0" encoding="utf-8"?>
<Properties xmlns="http://schemas.openxmlformats.org/officeDocument/2006/custom-properties" xmlns:vt="http://schemas.openxmlformats.org/officeDocument/2006/docPropsVTypes"/>
</file>