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naučná stezka v Krajině břidlice směřuje k Jezernímu dolu a rozšiřuje turistické možnosti v krásné krajině</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b w:val="1"/>
          <w:bCs w:val="1"/>
        </w:rPr>
        <w:t xml:space="preserve">Yvona Fajtová, redaktorka:</w:t>
      </w:r>
      <w:r>
        <w:rPr/>
        <w:t xml:space="preserve"> „Lodičky projedou slednou štolou do komory o velikosti zhruba 12 x 8 metrů.“</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b w:val="1"/>
          <w:bCs w:val="1"/>
        </w:rPr>
        <w:t xml:space="preserve">Yvona Fajtová, redaktorka: </w:t>
      </w:r>
      <w:r>
        <w:rPr/>
        <w:t xml:space="preserve">„Takže najednou budou moci tady kolik lodiček?“</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742/nova-naucna-stezka-v-krajine-bridlice-smeruje-k-jezernimu-dolu-a-rozsiruje-turisticke-moznosti-v-krasne-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2026-07-01T06:30:00+02:00</dcterms:created>
  <dcterms:modified xsi:type="dcterms:W3CDTF">2026-07-01T06:30:00+02:00</dcterms:modified>
</cp:coreProperties>
</file>

<file path=docProps/custom.xml><?xml version="1.0" encoding="utf-8"?>
<Properties xmlns="http://schemas.openxmlformats.org/officeDocument/2006/custom-properties" xmlns:vt="http://schemas.openxmlformats.org/officeDocument/2006/docPropsVTypes"/>
</file>