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Početná delegace zástupců všech zemí EU navštívila Bruntálsko</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 abychom odprezentovali to nejlepší, co kraj umí nabídnout a zároveň, aby jsme ukázali i místa, kde je potřeba ještě zapracovat.“ </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Je to obrovská jedinečnost pro tady toto místo, které si to vyloženě zaslouží, protože je to jedna  z nejnavštěvovanějších obcí v naší republice.“</w:t>
      </w:r>
    </w:p>
    <w:p>
      <w:pPr/>
      <w:r>
        <w:rPr/>
        <w:t xml:space="preserve"> 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 s rodinami.“</w:t>
      </w:r>
    </w:p>
    <w:p>
      <w:pPr/>
      <w:r>
        <w:rPr/>
        <w:t xml:space="preserve"> Třídenní návštěva skončila prohlídkou bruntálského zámku a jeho krásně upravenou zahradou a rekonstruovanou Sala terrenu.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2370/pocetna-delegace-zastupcu-vsech-zemi-eu-navstivila-bruntal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2026-10-07T12:47:10+02:00</dcterms:created>
  <dcterms:modified xsi:type="dcterms:W3CDTF">2026-10-07T12:47:10+02:00</dcterms:modified>
</cp:coreProperties>
</file>

<file path=docProps/custom.xml><?xml version="1.0" encoding="utf-8"?>
<Properties xmlns="http://schemas.openxmlformats.org/officeDocument/2006/custom-properties" xmlns:vt="http://schemas.openxmlformats.org/officeDocument/2006/docPropsVTypes"/>
</file>