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5.9.2022,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EU podpoří německý průmysl 27 miliardami eur</w:t>
      </w:r>
    </w:p>
    <w:p>
      <w:pPr/>
      <w:r>
        <w:rPr/>
        <w:t xml:space="preserve">Rozhodnutí Komise zapadá do pravidel EU zajišťujících  spravedlivou hospodářskou soutěž na jednotném evropském trhu. Energeticky  náročné sektory si však již dlouhou dobu stěžují na systém EU ETS, který je  znevýhodňuje oproti společnostem, které sídlí mimo EU.</w:t>
      </w:r>
    </w:p>
    <w:p>
      <w:pPr/>
      <w:r>
        <w:rPr/>
        <w:t xml:space="preserve">Komise navrhla právě z tohoto důvodu reformy příslušné  legislativy. Součástí reforem je také mechanismus uhlíkového vyrovnání na  hranicích. Na tom spolupracuje EU například s USA.</w:t>
      </w:r>
    </w:p>
    <w:p>
      <w:pPr/>
      <w:r>
        <w:rPr/>
        <w:t xml:space="preserve">Hlavním účelem reforem je dovést EU ke klimatické neutralitě  do roku 2050 a nesnížit přitom její konkurenceschopnost. S tím spjaté plány  předpokládaly masivní rozvoj obnovitelných zdrojů energie a využití zemního  plynu jakožto přechodného paliva. Rychle navyšující se klimatické ambice,  jejichž tempo nedokázal energetický trh kopírovat, se pak odrazily v ceně  emisních povolenek a rostoucích nákladech za energie.</w:t>
      </w:r>
    </w:p>
    <w:p>
      <w:pPr/>
      <w:r>
        <w:rPr/>
        <w:t xml:space="preserve">V loňském roce začalo Rusko, resp. Gazprom, snižovat dodávky  zemního plynu do Evropy. Analytici se tehdy domnívali, že jde ze strany Ruska o  snahu uspíšit certifikaci nového plynovodu Nord Stream II a přechod z uhlí na  plyn kvůli rostoucí ceně plynu zpomaloval.</w:t>
      </w:r>
    </w:p>
    <w:p>
      <w:pPr/>
      <w:r>
        <w:rPr/>
        <w:t xml:space="preserve">Potrubní dodávky plynu z Ruska  do EU jsou nyní značně omezeny a jejich další  omezení či úplné přerušení hrozí každou chvílí. EU není aktuálně schopna  zajistit si alternativní dodávky plynu ani v podobě LNG, které by pokryly  průměrné spotřeby z předešlých let.</w:t>
      </w:r>
    </w:p>
    <w:p>
      <w:pPr/>
      <w:r>
        <w:rPr/>
        <w:t xml:space="preserve">Na trh se proto vrací emisně náročnější uhelné elektrárny,  což povede v kombinaci se snižujícím se počtem emisních povolenek v oběhu a  spekulativnímu obchodování k dalšímu zvyšování jejich cen.  </w:t>
      </w:r>
    </w:p>
    <w:p>
      <w:pPr/>
      <w:r>
        <w:rPr/>
        <w:t xml:space="preserve">Cenu na trhu s elektrickou energií tvoří závěrná elektrárna  nebo jinak řečeno poslední elektrárna dodávající na trh elektřinu. Cena  elektřiny vzrostla zejména z důvodu plynové krize. Je však ovlivněna i cenou  povolenek. Tento nástroj má přitom EU v ruce a může jej sama ovlivňovat.</w:t>
      </w:r>
    </w:p>
    <w:p>
      <w:pPr/>
      <w:r>
        <w:rPr/>
        <w:t xml:space="preserve">Je tak otázkou, zda si EU může dovolit do velké míry  nepredikovatelný systém EU ETS, když se takto razantně změnily vstupní  předpoklady a zda by nebylo výhodnější zavést například cenový strop pro  povolenky. V opačném případě budou balíčky, které byly schváleny kromě Německa  také v Nizozemsku nebo Finsku, stále běžnější.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135/energie-a-kraj-eu-podpori-nemecky-prumysl-27-miliardami-e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2026-06-28T01:10:08+02:00</dcterms:created>
  <dcterms:modified xsi:type="dcterms:W3CDTF">2026-06-28T01:10:08+02:00</dcterms:modified>
</cp:coreProperties>
</file>

<file path=docProps/custom.xml><?xml version="1.0" encoding="utf-8"?>
<Properties xmlns="http://schemas.openxmlformats.org/officeDocument/2006/custom-properties" xmlns:vt="http://schemas.openxmlformats.org/officeDocument/2006/docPropsVTypes"/>
</file>