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nábytek ke kontejnerům nepatří. Za nelegální skládky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rPr>
        <w:t xml:space="preserve">Jindřich Machů, mluvčí MP Ostrava: </w:t>
      </w:r>
      <w:r>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rPr>
        <w:t xml:space="preserve">Aleš Staniczek, vedoucí provozovny Služby pro obce OZO Ostrava:</w:t>
      </w:r>
      <w:r>
        <w:rPr/>
        <w:t xml:space="preserve"> "Můžu to odevzdat do sběrného dvora a pokud toho mám více, mohu to odvézt do Kunčic. Také lze přes náš eshop objednat kontejner, kde se to nahází a my to odvezeme." </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3186/stary-nabytek-ke-kontejnerum-nepatri-za-nelegalni-skladky-hrozi-vysok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2026-05-01T05:55:57+02:00</dcterms:created>
  <dcterms:modified xsi:type="dcterms:W3CDTF">2026-05-01T05:55:57+02:00</dcterms:modified>
</cp:coreProperties>
</file>

<file path=docProps/custom.xml><?xml version="1.0" encoding="utf-8"?>
<Properties xmlns="http://schemas.openxmlformats.org/officeDocument/2006/custom-properties" xmlns:vt="http://schemas.openxmlformats.org/officeDocument/2006/docPropsVTypes"/>
</file>