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rozhodují o tom, jak se změní jejich okolí</w:t>
      </w:r>
    </w:p>
    <w:p>
      <w:pPr/>
      <w:r>
        <w:rPr/>
        <w:t xml:space="preserve">Celkem 36 projektů letos postoupilo do hlasování v participativním rozpočtu Náš Jih. Na ty vítězné radnice rozdělí stejně jako v minulých letech 10 milionů korun. O tom, které to budou, je jen na vás.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</w:t>
      </w:r>
      <w:hyperlink r:id="rId9" w:history="1">
        <w:r>
          <w:rPr/>
          <w:t xml:space="preserve">www.nasjih.cz</w:t>
        </w:r>
      </w:hyperlink>
      <w:r>
        <w:rPr/>
        <w:t xml:space="preserve">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Výškovic a Zábřehu.  A na závěr ještě připomínám, že hlasovat můžete už jen do 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112/obyvatele-ostravyjihu-rozhoduji-o-tom-jak-se-zmeni-jejich-okoli" TargetMode="External"/><Relationship Id="rId9" Type="http://schemas.openxmlformats.org/officeDocument/2006/relationships/hyperlink" Target="http://www.nas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2026-04-30T10:51:25+02:00</dcterms:created>
  <dcterms:modified xsi:type="dcterms:W3CDTF">2026-04-30T10:51:25+02:00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