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Obec Otice byla oceněna za Společenskou odpovědnost</w:t>
      </w:r>
    </w:p>
    <w:p>
      <w:pPr/>
      <w:r>
        <w:rPr>
          <w:b w:val="1"/>
          <w:bCs w:val="1"/>
        </w:rPr>
        <w:t xml:space="preserve">Vladimír Tancík, starosta Otic:</w:t>
      </w:r>
      <w:r>
        <w:rPr/>
        <w:t xml:space="preserve"> „Společenská odpovědnost  není podle mě jen nějaké opatření, ale celý systém, celá filozofie obce. Jde o  přístup k životnímu prostředí, k zaměstnancům, občanům, majetku a tak  dále. Snažíme se uspokojit všechny tyto skupiny. Chceme, aby byli spokojeni  mladí občané, ale i starousedlíci. Podařilo se nám například postavit nový park  u nádraží. Realizujeme teď také rekonstrukci kulturního domu, chystáme  rekonstrukci hasičské zbrojnice a také rekonstrukci komunikací a chodníků.“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62/chytry-region-obec-otice-byla-ocenena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2026-09-01T00:03:20+02:00</dcterms:created>
  <dcterms:modified xsi:type="dcterms:W3CDTF">2026-09-01T00:03:20+02:00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