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Vinný trh oživí podzimní čas i prázdný dům u náměstí</w:t>
      </w:r>
    </w:p>
    <w:p>
      <w:pPr/>
      <w:r>
        <w:rPr/>
        <w:t xml:space="preserve">Akci komornějšího charakteru pořádá Návštěvnické centrum. V podzimním čase se tak lidé mohou pobavit a dozvědět se i zajímavosti o víně.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 této první vinné mohou návštěvníci ochutnat víno, degustovat vzorky vinařství, které nabízí zdejší podnikatelé. A zejména zpříjemní pobyt v těchto prostorách cimbálová muzika Poštár.”   </w:t>
      </w:r>
    </w:p>
    <w:p>
      <w:pPr/>
      <w:r>
        <w:rPr/>
        <w:t xml:space="preserve">Vína zde budou prezentovat prodejci vín osvědčených vinařství.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tuto akci jsme nechali vyrobit tisíc kusů vinných skleniček s potiskem loga Novojičínský vinný trh.” </w:t>
      </w:r>
    </w:p>
    <w:p>
      <w:pPr/>
      <w:r>
        <w:rPr/>
        <w:t xml:space="preserve">Vinný trh tak zhruba po půl roce opět oživí prázdný dům, pro který město zatím hledá trvalé využití. Počátkem června se zde konal i první novojičínský minimarket, ten byl zaměřen na podporu místních drobných rukodělných prodejců.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33/vinny-trh-ozivi-podzimni-cas-i-prazdny-dum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